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Pr="00A606D0">
        <w:rPr>
          <w:rFonts w:ascii="Verdana" w:eastAsia="Calibri" w:hAnsi="Verdana"/>
          <w:b/>
          <w:i/>
          <w:sz w:val="22"/>
          <w:szCs w:val="22"/>
        </w:rPr>
        <w:t>Załącznik nr 4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7D4B26" w:rsidRPr="007D4B26" w:rsidRDefault="00A606D0" w:rsidP="007D4B26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bookmarkStart w:id="0" w:name="_GoBack"/>
      <w:r w:rsidR="007D4B26">
        <w:rPr>
          <w:rFonts w:ascii="Verdana" w:hAnsi="Verdana"/>
          <w:b/>
          <w:bCs/>
          <w:sz w:val="20"/>
          <w:szCs w:val="20"/>
        </w:rPr>
        <w:t>świadczenia</w:t>
      </w:r>
      <w:r w:rsidR="007D4B26" w:rsidRPr="007D4B26">
        <w:rPr>
          <w:rFonts w:ascii="Verdana" w:hAnsi="Verdana"/>
          <w:b/>
          <w:bCs/>
          <w:sz w:val="20"/>
          <w:szCs w:val="20"/>
        </w:rPr>
        <w:t xml:space="preserve"> usługi dot. wykonania oceny efektywności realizacji przedsięwzięcia w ramach partnerstwa publiczno-prywatnego p.n. „Zaprojektowanie, budowa i eksploatacja parkingu wielopoziomowego </w:t>
      </w:r>
      <w:r w:rsidR="007D4B26" w:rsidRPr="007D4B26">
        <w:rPr>
          <w:rFonts w:ascii="Verdana" w:hAnsi="Verdana"/>
          <w:b/>
          <w:bCs/>
          <w:sz w:val="20"/>
          <w:szCs w:val="20"/>
        </w:rPr>
        <w:br/>
        <w:t xml:space="preserve">przy ul. Jana Pawła II w Szczecinku” </w:t>
      </w:r>
    </w:p>
    <w:bookmarkEnd w:id="0"/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:rsidTr="00CE73C6">
        <w:tc>
          <w:tcPr>
            <w:tcW w:w="9073" w:type="dxa"/>
          </w:tcPr>
          <w:p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A606D0" w:rsidRPr="0025550A" w:rsidRDefault="00A606D0" w:rsidP="00A606D0">
      <w:pPr>
        <w:rPr>
          <w:rFonts w:ascii="Verdana" w:hAnsi="Verdana"/>
        </w:rPr>
      </w:pPr>
    </w:p>
    <w:p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3E7763"/>
    <w:rsid w:val="007D4B26"/>
    <w:rsid w:val="00A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2</cp:revision>
  <dcterms:created xsi:type="dcterms:W3CDTF">2025-02-18T12:03:00Z</dcterms:created>
  <dcterms:modified xsi:type="dcterms:W3CDTF">2025-02-21T10:50:00Z</dcterms:modified>
</cp:coreProperties>
</file>